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80"/>
      </w:pPr>
    </w:p>
    <w:p>
      <w:pPr>
        <w:spacing w:after="80"/>
      </w:pPr>
    </w:p>
    <w:p>
      <w:pPr>
        <w:spacing w:after="80"/>
      </w:pPr>
    </w:p>
    <w:p>
      <w:pPr>
        <w:spacing w:after="80"/>
      </w:pPr>
    </w:p>
    <w:p>
      <w:pPr>
        <w:spacing w:after="100"/>
        <w:jc w:val="center"/>
      </w:pPr>
      <w:r>
        <w:rPr>
          <w:rFonts w:ascii="Arial" w:cs="Arial" w:eastAsia="Arial" w:hAnsi="Arial"/>
          <w:b/>
          <w:bCs/>
          <w:color w:val="1B2A4A"/>
          <w:sz w:val="56"/>
          <w:szCs w:val="56"/>
        </w:rPr>
        <w:t xml:space="preserve">FACTORY2KEY</w:t>
      </w:r>
    </w:p>
    <w:p>
      <w:pPr>
        <w:spacing w:after="300"/>
        <w:jc w:val="center"/>
      </w:pPr>
      <w:r>
        <w:rPr>
          <w:rFonts w:ascii="Arial" w:cs="Arial" w:eastAsia="Arial" w:hAnsi="Arial"/>
          <w:color w:val="666666"/>
          <w:sz w:val="32"/>
          <w:szCs w:val="32"/>
        </w:rPr>
        <w:t xml:space="preserve">National Organisation Structure</w:t>
      </w:r>
    </w:p>
    <w:p>
      <w:pPr>
        <w:pBdr>
          <w:top w:val="single" w:color="C1440E" w:sz="6" w:space="12"/>
        </w:pBdr>
        <w:spacing w:after="100"/>
        <w:jc w:val="center"/>
      </w:pPr>
    </w:p>
    <w:p>
      <w:pPr>
        <w:spacing w:after="60"/>
        <w:jc w:val="center"/>
      </w:pPr>
      <w:r>
        <w:rPr>
          <w:rFonts w:ascii="Arial" w:cs="Arial" w:eastAsia="Arial" w:hAnsi="Arial"/>
          <w:b/>
          <w:bCs/>
          <w:color w:val="C1440E"/>
          <w:sz w:val="28"/>
          <w:szCs w:val="28"/>
        </w:rPr>
        <w:t xml:space="preserve">Expanded Model: National Social Housing Integrator</w:t>
      </w:r>
    </w:p>
    <w:p>
      <w:pPr>
        <w:spacing w:after="200"/>
        <w:jc w:val="center"/>
      </w:pPr>
      <w:r>
        <w:rPr>
          <w:rFonts w:ascii="Arial" w:cs="Arial" w:eastAsia="Arial" w:hAnsi="Arial"/>
          <w:color w:val="666666"/>
          <w:sz w:val="22"/>
          <w:szCs w:val="22"/>
        </w:rPr>
        <w:t xml:space="preserve">Multi-State Development Company + Government Social Housing Central Integrator</w:t>
      </w:r>
    </w:p>
    <w:p>
      <w:pPr>
        <w:spacing w:after="100"/>
        <w:jc w:val="center"/>
      </w:pPr>
      <w:r>
        <w:rPr>
          <w:rFonts w:ascii="Arial" w:cs="Arial" w:eastAsia="Arial" w:hAnsi="Arial"/>
          <w:color w:val="999999"/>
          <w:sz w:val="20"/>
          <w:szCs w:val="20"/>
        </w:rPr>
        <w:t xml:space="preserve">Version 2.0 — Incorporating National Housing Emergency Response</w:t>
      </w:r>
    </w:p>
    <w:p>
      <w:pPr>
        <w:spacing w:after="80"/>
      </w:pPr>
    </w:p>
    <w:p>
      <w:pPr>
        <w:spacing w:after="80"/>
      </w:pPr>
    </w:p>
    <w:p>
      <w:pPr>
        <w:spacing w:after="80"/>
      </w:pPr>
    </w:p>
    <w:p>
      <w:pPr>
        <w:spacing w:after="80"/>
      </w:pPr>
    </w:p>
    <w:p>
      <w:pPr>
        <w:spacing w:after="80"/>
      </w:pPr>
    </w:p>
    <w:p>
      <w:pPr>
        <w:spacing w:after="80"/>
      </w:pPr>
    </w:p>
    <w:p>
      <w:pPr>
        <w:spacing w:after="80"/>
      </w:pPr>
    </w:p>
    <w:p>
      <w:pPr>
        <w:jc w:val="center"/>
      </w:pPr>
      <w:r>
        <w:rPr>
          <w:rFonts w:ascii="Arial" w:cs="Arial" w:eastAsia="Arial" w:hAnsi="Arial"/>
          <w:color w:val="999999"/>
          <w:sz w:val="20"/>
          <w:szCs w:val="20"/>
        </w:rPr>
        <w:t xml:space="preserve">CONFIDENTIAL — February 2026</w:t>
      </w:r>
    </w:p>
    <w:p>
      <w:pPr>
        <w:sectPr>
          <w:pgSz w:w="11906" w:h="16838" w:orient="portrait"/>
          <w:pgMar w:top="1440" w:right="1440" w:bottom="1440" w:left="1440" w:header="708" w:footer="708" w:gutter="0"/>
          <w:pgNumType/>
          <w:docGrid w:linePitch="360"/>
        </w:sectPr>
      </w:pPr>
    </w:p>
    <w:p>
      <w:pPr>
        <w:pStyle w:val="Heading1"/>
      </w:pPr>
      <w:r>
        <w:t xml:space="preserve">1. What Has Changed and Why</w:t>
      </w:r>
    </w:p>
    <w:p>
      <w:pPr>
        <w:spacing w:after="160"/>
      </w:pPr>
      <w:r>
        <w:t xml:space="preserve">The V1.0 structure (February 2026) established Factory2Key as a multi-state development company with a four-tier hierarchy (National → State → Project → Site) focused on commercial and residential development projects across WA, Tasmania, and Queensland. That structure remains valid for the existing project portfolio.</w:t>
      </w:r>
    </w:p>
    <w:p>
      <w:pPr>
        <w:spacing w:after="160"/>
      </w:pPr>
      <w:r>
        <w:t xml:space="preserve">This V2.0 update expands the organisation to accommodate a parallel operating arm: the National Social Housing Central Integrator. This arm positions F2K as the impartial coordinator of modular and prefabricated housing delivery for government social housing programs across all Australian states and territories — a $70+ billion addressable market.</w:t>
      </w:r>
    </w:p>
    <w:p>
      <w:pPr>
        <w:pStyle w:val="Heading2"/>
      </w:pPr>
      <w:r>
        <w:t xml:space="preserve">1.1 The Strategic Shift</w:t>
      </w:r>
    </w:p>
    <w:p>
      <w:pPr>
        <w:spacing w:after="160"/>
      </w:pPr>
      <w:r>
        <w:t xml:space="preserve">The expanded model recognises that Factory2Key now operates across two complementary business streams:</w:t>
      </w:r>
    </w:p>
    <w:p>
      <w:pPr>
        <w:pStyle w:val="ListParagraph"/>
        <w:numPr>
          <w:ilvl w:val="0"/>
          <w:numId w:val="2"/>
        </w:numPr>
        <w:spacing w:after="80"/>
      </w:pPr>
      <w:r>
        <w:rPr>
          <w:b/>
          <w:bCs/>
        </w:rPr>
        <w:t xml:space="preserve">Development Portfolio: </w:t>
      </w:r>
      <w:r>
        <w:t xml:space="preserve">The existing project portfolio (WA, TAS, QLD) comprising commercial and residential developments managed through State Programme Directors, Project Managers, and Site Supervisors. This continues unchanged.</w:t>
      </w:r>
    </w:p>
    <w:p>
      <w:pPr>
        <w:pStyle w:val="ListParagraph"/>
        <w:numPr>
          <w:ilvl w:val="0"/>
          <w:numId w:val="2"/>
        </w:numPr>
        <w:spacing w:after="120"/>
      </w:pPr>
      <w:r>
        <w:rPr>
          <w:b/>
          <w:bCs/>
        </w:rPr>
        <w:t xml:space="preserve">Social Housing Integrator: </w:t>
      </w:r>
      <w:r>
        <w:t xml:space="preserve">A new national capability delivering government social housing through coordination of multiple manufacturers (Australian and Asian), compliance management across state specification frameworks, and end-to-end delivery from factory fabrication to key handover.</w:t>
      </w:r>
    </w:p>
    <w:p>
      <w:pPr>
        <w:spacing w:after="160"/>
      </w:pPr>
      <w:r>
        <w:t xml:space="preserve">Both streams share national leadership, financial infrastructure, and cross-state relationships. The integrator arm leverages the development arm’s project delivery capability while adding specialist functions: manufacturer coordination, government procurement, specification compliance, and logistics management.</w:t>
      </w:r>
    </w:p>
    <w:p>
      <w:pPr>
        <w:pStyle w:val="Heading2"/>
      </w:pPr>
      <w:r>
        <w:t xml:space="preserve">1.2 Key Structural Changes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226"/>
      </w:tblGrid>
      <w:tr>
        <w:tc>
          <w:tcPr>
            <w:tcW w:type="dxa" w:w="28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Element</w:t>
            </w:r>
          </w:p>
        </w:tc>
        <w:tc>
          <w:tcPr>
            <w:tcW w:type="dxa" w:w="30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V1.0 (Current)</w:t>
            </w:r>
          </w:p>
        </w:tc>
        <w:tc>
          <w:tcPr>
            <w:tcW w:type="dxa" w:w="3226"/>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V2.0 (Expanded)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Organisation tiers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 tiers: National → State → Project → Site</w:t>
            </w:r>
          </w:p>
        </w:tc>
        <w:tc>
          <w:tcPr>
            <w:tcW w:type="dxa" w:w="3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 tiers: National → Division → State/Function → Project → Site</w:t>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Business streams</w:t>
            </w:r>
          </w:p>
        </w:tc>
        <w:tc>
          <w:tcPr>
            <w:tcW w:type="dxa" w:w="3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Single: Development</w:t>
            </w:r>
          </w:p>
        </w:tc>
        <w:tc>
          <w:tcPr>
            <w:tcW w:type="dxa" w:w="32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Dual: Development + Social Housing Integrator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States covered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WA, TAS, QLD</w:t>
            </w:r>
          </w:p>
        </w:tc>
        <w:tc>
          <w:tcPr>
            <w:tcW w:type="dxa" w:w="3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All 7 states/territories + Federal</w:t>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National roles</w:t>
            </w:r>
          </w:p>
        </w:tc>
        <w:tc>
          <w:tcPr>
            <w:tcW w:type="dxa" w:w="3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 Programme Director, Finance Director</w:t>
            </w:r>
          </w:p>
        </w:tc>
        <w:tc>
          <w:tcPr>
            <w:tcW w:type="dxa" w:w="32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4–5: + Head of Social Housing, Head of Manufacturer Relations, Compliance &amp; QA Manager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New functions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None</w:t>
            </w:r>
          </w:p>
        </w:tc>
        <w:tc>
          <w:tcPr>
            <w:tcW w:type="dxa" w:w="3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Manufacturer coordination, govt procurement, specification compliance, logistics</w:t>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Revenue model</w:t>
            </w:r>
          </w:p>
        </w:tc>
        <w:tc>
          <w:tcPr>
            <w:tcW w:type="dxa" w:w="3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Development margin</w:t>
            </w:r>
          </w:p>
        </w:tc>
        <w:tc>
          <w:tcPr>
            <w:tcW w:type="dxa" w:w="32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Development margin + PM fees + procurement margin + logistics fees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Headcount range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16–22 (3-state)</w:t>
            </w:r>
          </w:p>
        </w:tc>
        <w:tc>
          <w:tcPr>
            <w:tcW w:type="dxa" w:w="3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25–40 (scaling with government contracts)</w:t>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Annual payroll</w:t>
            </w:r>
          </w:p>
        </w:tc>
        <w:tc>
          <w:tcPr>
            <w:tcW w:type="dxa" w:w="3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$1.8M–$2.4M</w:t>
            </w:r>
          </w:p>
        </w:tc>
        <w:tc>
          <w:tcPr>
            <w:tcW w:type="dxa" w:w="32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$3.0M–$5.0M (additional recovered from project fees)</w:t>
            </w:r>
          </w:p>
        </w:tc>
      </w:tr>
    </w:tbl>
    <w:p>
      <w:r>
        <w:br w:type="page"/>
      </w:r>
    </w:p>
    <w:p>
      <w:pPr>
        <w:pStyle w:val="Heading1"/>
      </w:pPr>
      <w:r>
        <w:t xml:space="preserve">2. Expanded Organisation Hierarchy</w:t>
      </w:r>
    </w:p>
    <w:p>
      <w:pPr>
        <w:spacing w:after="160"/>
      </w:pPr>
      <w:r>
        <w:t xml:space="preserve">The revised hierarchy introduces a divisional layer beneath national leadership, separating the two business streams while maintaining shared services and national oversight.</w:t>
      </w:r>
    </w:p>
    <w:p>
      <w:pPr>
        <w:spacing w:before="200" w:after="100"/>
        <w:jc w:val="center"/>
      </w:pPr>
      <w:r>
        <w:rPr>
          <w:rFonts w:ascii="Arial" w:cs="Arial" w:eastAsia="Arial" w:hAnsi="Arial"/>
          <w:b/>
          <w:bCs/>
          <w:color w:val="1B2A4A"/>
          <w:sz w:val="22"/>
          <w:szCs w:val="22"/>
        </w:rPr>
        <w:t xml:space="preserve">BOARD OF DIRECTORS</w:t>
      </w:r>
    </w:p>
    <w:p>
      <w:pPr>
        <w:spacing w:after="40"/>
        <w:jc w:val="center"/>
      </w:pPr>
      <w:r>
        <w:rPr>
          <w:rFonts w:ascii="Arial" w:cs="Arial" w:eastAsia="Arial" w:hAnsi="Arial"/>
          <w:color w:val="999999"/>
          <w:sz w:val="20"/>
          <w:szCs w:val="20"/>
        </w:rPr>
        <w:t xml:space="preserve">│</w:t>
      </w:r>
    </w:p>
    <w:p>
      <w:pPr>
        <w:spacing w:after="100"/>
        <w:jc w:val="center"/>
      </w:pPr>
      <w:r>
        <w:rPr>
          <w:rFonts w:ascii="Arial" w:cs="Arial" w:eastAsia="Arial" w:hAnsi="Arial"/>
          <w:b/>
          <w:bCs/>
          <w:sz w:val="20"/>
          <w:szCs w:val="20"/>
        </w:rPr>
        <w:t xml:space="preserve">NATIONAL PROGRAMME DIRECTOR — Dennis McMahon</w:t>
      </w:r>
    </w:p>
    <w:p>
      <w:pPr>
        <w:spacing w:after="40"/>
        <w:jc w:val="center"/>
      </w:pPr>
      <w:r>
        <w:rPr>
          <w:rFonts w:ascii="Arial" w:cs="Arial" w:eastAsia="Arial" w:hAnsi="Arial"/>
          <w:b/>
          <w:bCs/>
          <w:sz w:val="20"/>
          <w:szCs w:val="20"/>
        </w:rPr>
        <w:t xml:space="preserve">FINANCE DIRECTOR — Uwe Jacobs</w:t>
      </w:r>
    </w:p>
    <w:p>
      <w:pPr>
        <w:spacing w:after="40"/>
        <w:jc w:val="center"/>
      </w:pPr>
      <w:r>
        <w:rPr>
          <w:rFonts w:ascii="Courier New" w:cs="Courier New" w:eastAsia="Courier New" w:hAnsi="Courier New"/>
          <w:color w:val="999999"/>
          <w:sz w:val="16"/>
          <w:szCs w:val="16"/>
        </w:rPr>
        <w:t xml:space="preserve">┌─────────────────────────────────────────────────────┐</w:t>
      </w:r>
    </w:p>
    <w:p>
      <w:pPr>
        <w:spacing w:after="100"/>
        <w:jc w:val="center"/>
      </w:pPr>
      <w:r>
        <w:rPr>
          <w:rFonts w:ascii="Arial" w:cs="Arial" w:eastAsia="Arial" w:hAnsi="Arial"/>
          <w:b/>
          <w:bCs/>
          <w:color w:val="1B2A4A"/>
          <w:sz w:val="18"/>
          <w:szCs w:val="18"/>
        </w:rPr>
        <w:t xml:space="preserve">DEVELOPMENT DIVISION              SOCIAL HOUSING DIVISION</w:t>
      </w:r>
    </w:p>
    <w:p>
      <w:pPr>
        <w:spacing w:after="40"/>
        <w:jc w:val="center"/>
      </w:pPr>
      <w:r>
        <w:rPr>
          <w:rFonts w:ascii="Arial" w:cs="Arial" w:eastAsia="Arial" w:hAnsi="Arial"/>
          <w:color w:val="C1440E"/>
          <w:sz w:val="16"/>
          <w:szCs w:val="16"/>
        </w:rPr>
        <w:t xml:space="preserve">(Existing V1.0 Structure)          (NEW — Central Integrator)</w:t>
      </w:r>
    </w:p>
    <w:p>
      <w:pPr>
        <w:spacing w:after="40"/>
        <w:jc w:val="center"/>
      </w:pPr>
      <w:r>
        <w:rPr>
          <w:rFonts w:ascii="Courier New" w:cs="Courier New" w:eastAsia="Courier New" w:hAnsi="Courier New"/>
          <w:color w:val="999999"/>
          <w:sz w:val="16"/>
          <w:szCs w:val="16"/>
        </w:rPr>
        <w:t xml:space="preserve">│                                     │</w:t>
      </w:r>
    </w:p>
    <w:p>
      <w:pPr>
        <w:spacing w:after="40"/>
        <w:jc w:val="center"/>
      </w:pPr>
      <w:r>
        <w:rPr>
          <w:rFonts w:ascii="Arial" w:cs="Arial" w:eastAsia="Arial" w:hAnsi="Arial"/>
          <w:sz w:val="16"/>
          <w:szCs w:val="16"/>
        </w:rPr>
        <w:t xml:space="preserve">State PDs (WA/TAS/QLD)       Head of Social Housing (NEW)</w:t>
      </w:r>
    </w:p>
    <w:p>
      <w:pPr>
        <w:spacing w:after="40"/>
        <w:jc w:val="center"/>
      </w:pPr>
      <w:r>
        <w:rPr>
          <w:rFonts w:ascii="Courier New" w:cs="Courier New" w:eastAsia="Courier New" w:hAnsi="Courier New"/>
          <w:color w:val="999999"/>
          <w:sz w:val="16"/>
          <w:szCs w:val="16"/>
        </w:rPr>
        <w:t xml:space="preserve">│                                     │</w:t>
      </w:r>
    </w:p>
    <w:p>
      <w:pPr>
        <w:spacing w:after="40"/>
        <w:jc w:val="center"/>
      </w:pPr>
      <w:r>
        <w:rPr>
          <w:rFonts w:ascii="Courier New" w:cs="Courier New" w:eastAsia="Courier New" w:hAnsi="Courier New"/>
          <w:sz w:val="16"/>
          <w:szCs w:val="16"/>
        </w:rPr>
        <w:t xml:space="preserve">Project Managers                 ┌──────────┬──────────┐</w:t>
      </w:r>
    </w:p>
    <w:p>
      <w:pPr>
        <w:spacing w:after="40"/>
        <w:jc w:val="center"/>
      </w:pPr>
      <w:r>
        <w:rPr>
          <w:rFonts w:ascii="Arial" w:cs="Arial" w:eastAsia="Arial" w:hAnsi="Arial"/>
          <w:sz w:val="16"/>
          <w:szCs w:val="16"/>
        </w:rPr>
        <w:t xml:space="preserve">│                        Manufacturer    Compliance    Govt</w:t>
      </w:r>
    </w:p>
    <w:p>
      <w:pPr>
        <w:spacing w:after="40"/>
        <w:jc w:val="center"/>
      </w:pPr>
      <w:r>
        <w:rPr>
          <w:rFonts w:ascii="Arial" w:cs="Arial" w:eastAsia="Arial" w:hAnsi="Arial"/>
          <w:sz w:val="16"/>
          <w:szCs w:val="16"/>
        </w:rPr>
        <w:t xml:space="preserve">Site Supervisors           Relations       &amp; QA        Procurement</w:t>
      </w:r>
    </w:p>
    <w:p>
      <w:pPr>
        <w:spacing w:after="200"/>
        <w:jc w:val="center"/>
      </w:pPr>
      <w:r>
        <w:rPr>
          <w:rFonts w:ascii="Arial" w:cs="Arial" w:eastAsia="Arial" w:hAnsi="Arial"/>
          <w:color w:val="C1440E"/>
          <w:sz w:val="16"/>
          <w:szCs w:val="16"/>
        </w:rPr>
        <w:t xml:space="preserve">                           Manager (NEW)   Mgr (NEW)   Mgr (NEW)</w:t>
      </w:r>
    </w:p>
    <w:p>
      <w:r>
        <w:br w:type="page"/>
      </w:r>
    </w:p>
    <w:p>
      <w:pPr>
        <w:pStyle w:val="Heading1"/>
      </w:pPr>
      <w:r>
        <w:t xml:space="preserve">3. New National Roles</w:t>
      </w:r>
    </w:p>
    <w:p>
      <w:pPr>
        <w:spacing w:after="160"/>
      </w:pPr>
      <w:r>
        <w:t xml:space="preserve">The Social Housing Division introduces three to four new national-level roles that do not exist in the V1.0 structure. These are specialist functions required by the integrator model and cannot be absorbed by existing roles.</w:t>
      </w:r>
    </w:p>
    <w:p>
      <w:pPr>
        <w:spacing w:after="120"/>
      </w:pPr>
      <w:r>
        <w:rPr>
          <w:i/>
          <w:iCs/>
        </w:rPr>
        <w:t xml:space="preserve">Legend:  </w:t>
      </w:r>
      <w:r>
        <w:rPr>
          <w:b/>
          <w:bCs/>
          <w:color w:val="C1440E"/>
        </w:rPr>
        <w:t xml:space="preserve">■ NEW ROLE</w:t>
      </w:r>
      <w:r>
        <w:rPr>
          <w:b/>
          <w:bCs/>
          <w:color w:val="2E7D32"/>
        </w:rPr>
        <w:t xml:space="preserve">   ■ EXPANDED ROLE</w:t>
      </w:r>
      <w:r>
        <w:rPr>
          <w:b/>
          <w:bCs/>
          <w:color w:val="666666"/>
        </w:rPr>
        <w:t xml:space="preserve">   ■ UNCHANGED</w:t>
      </w:r>
    </w:p>
    <w:p>
      <w:pPr>
        <w:pStyle w:val="Heading2"/>
      </w:pPr>
      <w:r>
        <w:t xml:space="preserve">3.1 Head of Social Housing (NEW)</w:t>
      </w:r>
    </w:p>
    <w:p>
      <w:pPr>
        <w:spacing w:after="160"/>
      </w:pPr>
      <w:r>
        <w:rPr>
          <w:b/>
          <w:bCs/>
        </w:rPr>
        <w:t xml:space="preserve">Salary: </w:t>
      </w:r>
      <w:r>
        <w:t xml:space="preserve">$220,000–$260,000  |  Reports To: National Programme Director</w:t>
      </w:r>
    </w:p>
    <w:p>
      <w:pPr>
        <w:spacing w:after="160"/>
      </w:pPr>
      <w:r>
        <w:rPr>
          <w:b/>
          <w:bCs/>
        </w:rPr>
        <w:t xml:space="preserve">Location: </w:t>
      </w:r>
      <w:r>
        <w:t xml:space="preserve">National (based in primary state, travels nationally)</w:t>
      </w:r>
    </w:p>
    <w:p>
      <w:pPr>
        <w:spacing w:after="160"/>
      </w:pPr>
      <w:r>
        <w:t xml:space="preserve">This is the pivotal new role. The Head of Social Housing leads the entire integrator arm — government relationships, procurement strategy, manufacturer coordination, and delivery oversight for all social housing programs across all states.</w:t>
      </w:r>
    </w:p>
    <w:p>
      <w:pPr>
        <w:pStyle w:val="Heading3"/>
      </w:pPr>
      <w:r>
        <w:t xml:space="preserve">Key Responsibilities</w:t>
      </w:r>
    </w:p>
    <w:p>
      <w:pPr>
        <w:pStyle w:val="ListParagraph"/>
        <w:numPr>
          <w:ilvl w:val="0"/>
          <w:numId w:val="3"/>
        </w:numPr>
        <w:spacing w:after="80"/>
      </w:pPr>
      <w:r>
        <w:t xml:space="preserve">Leadership of F2K’s social housing integrator business nationally</w:t>
      </w:r>
    </w:p>
    <w:p>
      <w:pPr>
        <w:pStyle w:val="ListParagraph"/>
        <w:numPr>
          <w:ilvl w:val="0"/>
          <w:numId w:val="3"/>
        </w:numPr>
        <w:spacing w:after="80"/>
      </w:pPr>
      <w:r>
        <w:t xml:space="preserve">Government stakeholder relationships: DHW (WA), Homes NSW, QBuild (QLD), Homes Victoria, SA Housing Trust, Homes Tasmania, NT Housing, Housing Australia</w:t>
      </w:r>
    </w:p>
    <w:p>
      <w:pPr>
        <w:pStyle w:val="ListParagraph"/>
        <w:numPr>
          <w:ilvl w:val="0"/>
          <w:numId w:val="3"/>
        </w:numPr>
        <w:spacing w:after="80"/>
      </w:pPr>
      <w:r>
        <w:t xml:space="preserve">National procurement strategy: registration, panel applications, tender responses across all state portals</w:t>
      </w:r>
    </w:p>
    <w:p>
      <w:pPr>
        <w:pStyle w:val="ListParagraph"/>
        <w:numPr>
          <w:ilvl w:val="0"/>
          <w:numId w:val="3"/>
        </w:numPr>
        <w:spacing w:after="80"/>
      </w:pPr>
      <w:r>
        <w:t xml:space="preserve">Manufacturer network development: pre-qualification of Australian and Asian manufacturers against NCC and state specifications</w:t>
      </w:r>
    </w:p>
    <w:p>
      <w:pPr>
        <w:pStyle w:val="ListParagraph"/>
        <w:numPr>
          <w:ilvl w:val="0"/>
          <w:numId w:val="3"/>
        </w:numPr>
        <w:spacing w:after="80"/>
      </w:pPr>
      <w:r>
        <w:t xml:space="preserve">Program-level delivery oversight across all active social housing contracts</w:t>
      </w:r>
    </w:p>
    <w:p>
      <w:pPr>
        <w:pStyle w:val="ListParagraph"/>
        <w:numPr>
          <w:ilvl w:val="0"/>
          <w:numId w:val="3"/>
        </w:numPr>
        <w:spacing w:after="80"/>
      </w:pPr>
      <w:r>
        <w:t xml:space="preserve">Revenue and margin management for the integrator arm</w:t>
      </w:r>
    </w:p>
    <w:p>
      <w:pPr>
        <w:pStyle w:val="ListParagraph"/>
        <w:numPr>
          <w:ilvl w:val="0"/>
          <w:numId w:val="3"/>
        </w:numPr>
        <w:spacing w:after="80"/>
      </w:pPr>
      <w:r>
        <w:t xml:space="preserve">Interface with National Programme Director on resource sharing between divisions</w:t>
      </w:r>
    </w:p>
    <w:p>
      <w:pPr>
        <w:pStyle w:val="ListParagraph"/>
        <w:numPr>
          <w:ilvl w:val="0"/>
          <w:numId w:val="3"/>
        </w:numPr>
        <w:spacing w:after="80"/>
      </w:pPr>
      <w:r>
        <w:t xml:space="preserve">Industry engagement: prefabAUS, Supply Nation, Housing Industry Association</w:t>
      </w:r>
    </w:p>
    <w:p>
      <w:pPr>
        <w:pStyle w:val="Heading3"/>
      </w:pPr>
      <w:r>
        <w:t xml:space="preserve">Key Performance Indicators</w:t>
      </w:r>
    </w:p>
    <w:p>
      <w:pPr>
        <w:pStyle w:val="ListParagraph"/>
        <w:numPr>
          <w:ilvl w:val="0"/>
          <w:numId w:val="3"/>
        </w:numPr>
        <w:spacing w:after="80"/>
      </w:pPr>
      <w:r>
        <w:t xml:space="preserve">Government contract pipeline value and win rate</w:t>
      </w:r>
    </w:p>
    <w:p>
      <w:pPr>
        <w:pStyle w:val="ListParagraph"/>
        <w:numPr>
          <w:ilvl w:val="0"/>
          <w:numId w:val="3"/>
        </w:numPr>
        <w:spacing w:after="80"/>
      </w:pPr>
      <w:r>
        <w:t xml:space="preserve">Manufacturer network breadth and performance</w:t>
      </w:r>
    </w:p>
    <w:p>
      <w:pPr>
        <w:pStyle w:val="ListParagraph"/>
        <w:numPr>
          <w:ilvl w:val="0"/>
          <w:numId w:val="3"/>
        </w:numPr>
        <w:spacing w:after="80"/>
      </w:pPr>
      <w:r>
        <w:t xml:space="preserve">Dwellings delivered on time, on budget, to specification</w:t>
      </w:r>
    </w:p>
    <w:p>
      <w:pPr>
        <w:pStyle w:val="ListParagraph"/>
        <w:numPr>
          <w:ilvl w:val="0"/>
          <w:numId w:val="3"/>
        </w:numPr>
        <w:spacing w:after="80"/>
      </w:pPr>
      <w:r>
        <w:t xml:space="preserve">Revenue and margin from integrator arm</w:t>
      </w:r>
    </w:p>
    <w:p>
      <w:pPr>
        <w:pStyle w:val="ListParagraph"/>
        <w:numPr>
          <w:ilvl w:val="0"/>
          <w:numId w:val="3"/>
        </w:numPr>
        <w:spacing w:after="80"/>
      </w:pPr>
      <w:r>
        <w:t xml:space="preserve">Registration and pre-qualification status across all jurisdictions</w:t>
      </w:r>
    </w:p>
    <w:p>
      <w:pPr>
        <w:pStyle w:val="Heading2"/>
      </w:pPr>
      <w:r>
        <w:t xml:space="preserve">3.2 Manufacturer Relations Manager (NEW)</w:t>
      </w:r>
    </w:p>
    <w:p>
      <w:pPr>
        <w:spacing w:after="160"/>
      </w:pPr>
      <w:r>
        <w:rPr>
          <w:b/>
          <w:bCs/>
        </w:rPr>
        <w:t xml:space="preserve">Salary: </w:t>
      </w:r>
      <w:r>
        <w:t xml:space="preserve">$150,000–$180,000  |  Reports To: Head of Social Housing</w:t>
      </w:r>
    </w:p>
    <w:p>
      <w:pPr>
        <w:spacing w:after="160"/>
      </w:pPr>
      <w:r>
        <w:rPr>
          <w:b/>
          <w:bCs/>
        </w:rPr>
        <w:t xml:space="preserve">Location: </w:t>
      </w:r>
      <w:r>
        <w:t xml:space="preserve">National (travel to Australian and Asian manufacturers)</w:t>
      </w:r>
    </w:p>
    <w:p>
      <w:pPr>
        <w:spacing w:after="160"/>
      </w:pPr>
      <w:r>
        <w:t xml:space="preserve">This role manages the entire manufacturer supply chain — the core of F2K’s impartial integrator model. Responsible for identifying, pre-qualifying, and managing relationships with Australian fabricators and Asian module/component producers.</w:t>
      </w:r>
    </w:p>
    <w:p>
      <w:pPr>
        <w:pStyle w:val="Heading3"/>
      </w:pPr>
      <w:r>
        <w:t xml:space="preserve">Key Responsibilities</w:t>
      </w:r>
    </w:p>
    <w:p>
      <w:pPr>
        <w:pStyle w:val="ListParagraph"/>
        <w:numPr>
          <w:ilvl w:val="0"/>
          <w:numId w:val="3"/>
        </w:numPr>
        <w:spacing w:after="80"/>
      </w:pPr>
      <w:r>
        <w:t xml:space="preserve">Manufacturer identification, pre-qualification, and onboarding against NCC and state specification requirements</w:t>
      </w:r>
    </w:p>
    <w:p>
      <w:pPr>
        <w:pStyle w:val="ListParagraph"/>
        <w:numPr>
          <w:ilvl w:val="0"/>
          <w:numId w:val="3"/>
        </w:numPr>
        <w:spacing w:after="80"/>
      </w:pPr>
      <w:r>
        <w:t xml:space="preserve">Ongoing manufacturer performance management and QA coordination</w:t>
      </w:r>
    </w:p>
    <w:p>
      <w:pPr>
        <w:pStyle w:val="ListParagraph"/>
        <w:numPr>
          <w:ilvl w:val="0"/>
          <w:numId w:val="3"/>
        </w:numPr>
        <w:spacing w:after="80"/>
      </w:pPr>
      <w:r>
        <w:t xml:space="preserve">Best-fit manufacturer selection for each project: matching use case, climate zone, wind region, building classification, and budget to optimal supplier</w:t>
      </w:r>
    </w:p>
    <w:p>
      <w:pPr>
        <w:pStyle w:val="ListParagraph"/>
        <w:numPr>
          <w:ilvl w:val="0"/>
          <w:numId w:val="3"/>
        </w:numPr>
        <w:spacing w:after="80"/>
      </w:pPr>
      <w:r>
        <w:t xml:space="preserve">Production scheduling across multiple manufacturers for concurrent projects</w:t>
      </w:r>
    </w:p>
    <w:p>
      <w:pPr>
        <w:pStyle w:val="ListParagraph"/>
        <w:numPr>
          <w:ilvl w:val="0"/>
          <w:numId w:val="3"/>
        </w:numPr>
        <w:spacing w:after="80"/>
      </w:pPr>
      <w:r>
        <w:t xml:space="preserve">Factory inspection programs (domestic and offshore)</w:t>
      </w:r>
    </w:p>
    <w:p>
      <w:pPr>
        <w:pStyle w:val="ListParagraph"/>
        <w:numPr>
          <w:ilvl w:val="0"/>
          <w:numId w:val="3"/>
        </w:numPr>
        <w:spacing w:after="80"/>
      </w:pPr>
      <w:r>
        <w:t xml:space="preserve">Transport and logistics coordination: Asian ports to Australian ports, road transport to metro and remote sites</w:t>
      </w:r>
    </w:p>
    <w:p>
      <w:pPr>
        <w:pStyle w:val="ListParagraph"/>
        <w:numPr>
          <w:ilvl w:val="0"/>
          <w:numId w:val="3"/>
        </w:numPr>
        <w:spacing w:after="80"/>
      </w:pPr>
      <w:r>
        <w:t xml:space="preserve">Supply chain risk management: alternative supplier identification, lead time management, material price monitoring</w:t>
      </w:r>
    </w:p>
    <w:p>
      <w:pPr>
        <w:pStyle w:val="ListParagraph"/>
        <w:numPr>
          <w:ilvl w:val="0"/>
          <w:numId w:val="3"/>
        </w:numPr>
        <w:spacing w:after="80"/>
      </w:pPr>
      <w:r>
        <w:t xml:space="preserve">Manufacturer capacity planning to support cross-state demand aggregation</w:t>
      </w:r>
    </w:p>
    <w:p>
      <w:pPr>
        <w:pStyle w:val="Heading3"/>
      </w:pPr>
      <w:r>
        <w:t xml:space="preserve">Key Performance Indicators</w:t>
      </w:r>
    </w:p>
    <w:p>
      <w:pPr>
        <w:pStyle w:val="ListParagraph"/>
        <w:numPr>
          <w:ilvl w:val="0"/>
          <w:numId w:val="3"/>
        </w:numPr>
        <w:spacing w:after="80"/>
      </w:pPr>
      <w:r>
        <w:t xml:space="preserve">Number of qualified manufacturers across categories (volumetric, 2D kit-of-parts, pods, components)</w:t>
      </w:r>
    </w:p>
    <w:p>
      <w:pPr>
        <w:pStyle w:val="ListParagraph"/>
        <w:numPr>
          <w:ilvl w:val="0"/>
          <w:numId w:val="3"/>
        </w:numPr>
        <w:spacing w:after="80"/>
      </w:pPr>
      <w:r>
        <w:t xml:space="preserve">Manufacturer delivery performance (on-time, defect rates)</w:t>
      </w:r>
    </w:p>
    <w:p>
      <w:pPr>
        <w:pStyle w:val="ListParagraph"/>
        <w:numPr>
          <w:ilvl w:val="0"/>
          <w:numId w:val="3"/>
        </w:numPr>
        <w:spacing w:after="80"/>
      </w:pPr>
      <w:r>
        <w:t xml:space="preserve">Cost competitiveness of manufacturer panel versus market benchmarks</w:t>
      </w:r>
    </w:p>
    <w:p>
      <w:pPr>
        <w:pStyle w:val="ListParagraph"/>
        <w:numPr>
          <w:ilvl w:val="0"/>
          <w:numId w:val="3"/>
        </w:numPr>
        <w:spacing w:after="80"/>
      </w:pPr>
      <w:r>
        <w:t xml:space="preserve">Transport incident rate and damage claims</w:t>
      </w:r>
    </w:p>
    <w:p>
      <w:pPr>
        <w:pStyle w:val="Heading2"/>
      </w:pPr>
      <w:r>
        <w:t xml:space="preserve">3.3 Compliance &amp; QA Manager (NEW)</w:t>
      </w:r>
    </w:p>
    <w:p>
      <w:pPr>
        <w:spacing w:after="160"/>
      </w:pPr>
      <w:r>
        <w:rPr>
          <w:b/>
          <w:bCs/>
        </w:rPr>
        <w:t xml:space="preserve">Salary: </w:t>
      </w:r>
      <w:r>
        <w:t xml:space="preserve">$140,000–$170,000  |  Reports To: Head of Social Housing</w:t>
      </w:r>
    </w:p>
    <w:p>
      <w:pPr>
        <w:spacing w:after="160"/>
      </w:pPr>
      <w:r>
        <w:rPr>
          <w:b/>
          <w:bCs/>
        </w:rPr>
        <w:t xml:space="preserve">Location: </w:t>
      </w:r>
      <w:r>
        <w:t xml:space="preserve">National (travel to factories and project sites)</w:t>
      </w:r>
    </w:p>
    <w:p>
      <w:pPr>
        <w:spacing w:after="160"/>
      </w:pPr>
      <w:r>
        <w:t xml:space="preserve">This role owns the specification compliance framework across all state programs. This is the function that makes F2K indispensable — the deep knowledge of every state’s design briefs, construction specifications, supplements, and approval requirements that most manufacturers and builders simply don’t have.</w:t>
      </w:r>
    </w:p>
    <w:p>
      <w:pPr>
        <w:pStyle w:val="Heading3"/>
      </w:pPr>
      <w:r>
        <w:t xml:space="preserve">Key Responsibilities</w:t>
      </w:r>
    </w:p>
    <w:p>
      <w:pPr>
        <w:pStyle w:val="ListParagraph"/>
        <w:numPr>
          <w:ilvl w:val="0"/>
          <w:numId w:val="3"/>
        </w:numPr>
        <w:spacing w:after="80"/>
      </w:pPr>
      <w:r>
        <w:t xml:space="preserve">Mastery and maintenance of all state specification frameworks: WA (12-document DHW suite), NSW (NCC + Homes NSW Good Design Guide), QLD (QBuild MMC standards), VIC (Big Housing Build standards), NT (remote housing cultural and climate requirements), SA, TAS</w:t>
      </w:r>
    </w:p>
    <w:p>
      <w:pPr>
        <w:pStyle w:val="ListParagraph"/>
        <w:numPr>
          <w:ilvl w:val="0"/>
          <w:numId w:val="3"/>
        </w:numPr>
        <w:spacing w:after="80"/>
      </w:pPr>
      <w:r>
        <w:t xml:space="preserve">Prototype management: coordinate prototype construction and testing per DHW Prefabricated Housing specification</w:t>
      </w:r>
    </w:p>
    <w:p>
      <w:pPr>
        <w:pStyle w:val="ListParagraph"/>
        <w:numPr>
          <w:ilvl w:val="0"/>
          <w:numId w:val="3"/>
        </w:numPr>
        <w:spacing w:after="80"/>
      </w:pPr>
      <w:r>
        <w:t xml:space="preserve">Design review: 50% and 100% design submissions to government clients</w:t>
      </w:r>
    </w:p>
    <w:p>
      <w:pPr>
        <w:pStyle w:val="ListParagraph"/>
        <w:numPr>
          <w:ilvl w:val="0"/>
          <w:numId w:val="3"/>
        </w:numPr>
        <w:spacing w:after="80"/>
      </w:pPr>
      <w:r>
        <w:t xml:space="preserve">Hold-point inspections and sign-offs during fabrication</w:t>
      </w:r>
    </w:p>
    <w:p>
      <w:pPr>
        <w:pStyle w:val="ListParagraph"/>
        <w:numPr>
          <w:ilvl w:val="0"/>
          <w:numId w:val="3"/>
        </w:numPr>
        <w:spacing w:after="80"/>
      </w:pPr>
      <w:r>
        <w:t xml:space="preserve">Wind region compliance: certification of cyclone-rated connections and assemblies (Wind Regions B2, C, D)</w:t>
      </w:r>
    </w:p>
    <w:p>
      <w:pPr>
        <w:pStyle w:val="ListParagraph"/>
        <w:numPr>
          <w:ilvl w:val="0"/>
          <w:numId w:val="3"/>
        </w:numPr>
        <w:spacing w:after="80"/>
      </w:pPr>
      <w:r>
        <w:t xml:space="preserve">VOC, sustainability, and environmental compliance across all projects</w:t>
      </w:r>
    </w:p>
    <w:p>
      <w:pPr>
        <w:pStyle w:val="ListParagraph"/>
        <w:numPr>
          <w:ilvl w:val="0"/>
          <w:numId w:val="3"/>
        </w:numPr>
        <w:spacing w:after="80"/>
      </w:pPr>
      <w:r>
        <w:t xml:space="preserve">As-constructed documentation: DWG, DXF, PDF submission packages</w:t>
      </w:r>
    </w:p>
    <w:p>
      <w:pPr>
        <w:pStyle w:val="ListParagraph"/>
        <w:numPr>
          <w:ilvl w:val="0"/>
          <w:numId w:val="3"/>
        </w:numPr>
        <w:spacing w:after="80"/>
      </w:pPr>
      <w:r>
        <w:t xml:space="preserve">Defect rectification tracking and warranty management</w:t>
      </w:r>
    </w:p>
    <w:p>
      <w:pPr>
        <w:pStyle w:val="ListParagraph"/>
        <w:numPr>
          <w:ilvl w:val="0"/>
          <w:numId w:val="3"/>
        </w:numPr>
        <w:spacing w:after="80"/>
      </w:pPr>
      <w:r>
        <w:t xml:space="preserve">National certification engagement: alignment with ABCB voluntary national certification process</w:t>
      </w:r>
    </w:p>
    <w:p>
      <w:pPr>
        <w:pStyle w:val="Heading3"/>
      </w:pPr>
      <w:r>
        <w:t xml:space="preserve">Key Performance Indicators</w:t>
      </w:r>
    </w:p>
    <w:p>
      <w:pPr>
        <w:pStyle w:val="ListParagraph"/>
        <w:numPr>
          <w:ilvl w:val="0"/>
          <w:numId w:val="3"/>
        </w:numPr>
        <w:spacing w:after="80"/>
      </w:pPr>
      <w:r>
        <w:t xml:space="preserve">First-time government design approval rate</w:t>
      </w:r>
    </w:p>
    <w:p>
      <w:pPr>
        <w:pStyle w:val="ListParagraph"/>
        <w:numPr>
          <w:ilvl w:val="0"/>
          <w:numId w:val="3"/>
        </w:numPr>
        <w:spacing w:after="80"/>
      </w:pPr>
      <w:r>
        <w:t xml:space="preserve">Compliance audit pass rate across all projects</w:t>
      </w:r>
    </w:p>
    <w:p>
      <w:pPr>
        <w:pStyle w:val="ListParagraph"/>
        <w:numPr>
          <w:ilvl w:val="0"/>
          <w:numId w:val="3"/>
        </w:numPr>
        <w:spacing w:after="80"/>
      </w:pPr>
      <w:r>
        <w:t xml:space="preserve">Defect incidence rate at handover</w:t>
      </w:r>
    </w:p>
    <w:p>
      <w:pPr>
        <w:pStyle w:val="ListParagraph"/>
        <w:numPr>
          <w:ilvl w:val="0"/>
          <w:numId w:val="3"/>
        </w:numPr>
        <w:spacing w:after="80"/>
      </w:pPr>
      <w:r>
        <w:t xml:space="preserve">Specification currency: all state frameworks reviewed within 30 days of update</w:t>
      </w:r>
    </w:p>
    <w:p>
      <w:pPr>
        <w:pStyle w:val="Heading2"/>
      </w:pPr>
      <w:r>
        <w:t xml:space="preserve">3.4 Government Procurement Manager (NEW — Phase 2)</w:t>
      </w:r>
    </w:p>
    <w:p>
      <w:pPr>
        <w:spacing w:after="160"/>
      </w:pPr>
      <w:r>
        <w:rPr>
          <w:b/>
          <w:bCs/>
        </w:rPr>
        <w:t xml:space="preserve">Salary: </w:t>
      </w:r>
      <w:r>
        <w:t xml:space="preserve">$130,000–$160,000  |  Reports To: Head of Social Housing</w:t>
      </w:r>
    </w:p>
    <w:p>
      <w:pPr>
        <w:spacing w:after="160"/>
      </w:pPr>
      <w:r>
        <w:rPr>
          <w:b/>
          <w:bCs/>
        </w:rPr>
        <w:t xml:space="preserve">Location: </w:t>
      </w:r>
      <w:r>
        <w:t xml:space="preserve">National</w:t>
      </w:r>
    </w:p>
    <w:p>
      <w:pPr>
        <w:spacing w:after="160"/>
      </w:pPr>
      <w:r>
        <w:t xml:space="preserve">This role may be initially absorbed by the Head of Social Housing and split out as the pipeline grows. It manages all government procurement registrations, tender responses, panel applications, and ongoing compliance with procurement requirements across all jurisdictions.</w:t>
      </w:r>
    </w:p>
    <w:p>
      <w:pPr>
        <w:pStyle w:val="Heading3"/>
      </w:pPr>
      <w:r>
        <w:t xml:space="preserve">Key Responsibilities</w:t>
      </w:r>
    </w:p>
    <w:p>
      <w:pPr>
        <w:pStyle w:val="ListParagraph"/>
        <w:numPr>
          <w:ilvl w:val="0"/>
          <w:numId w:val="3"/>
        </w:numPr>
        <w:spacing w:after="80"/>
      </w:pPr>
      <w:r>
        <w:t xml:space="preserve">Maintain active registrations across all state procurement portals: Buy NSW, QBuild Register, Tenders WA, VIC Construction Supplier Register, SA Tenders, TAS Government Purchasing, NT QTOL, AusTender</w:t>
      </w:r>
    </w:p>
    <w:p>
      <w:pPr>
        <w:pStyle w:val="ListParagraph"/>
        <w:numPr>
          <w:ilvl w:val="0"/>
          <w:numId w:val="3"/>
        </w:numPr>
        <w:spacing w:after="80"/>
      </w:pPr>
      <w:r>
        <w:t xml:space="preserve">Tender response management: coordinating technical, financial, and capability submissions</w:t>
      </w:r>
    </w:p>
    <w:p>
      <w:pPr>
        <w:pStyle w:val="ListParagraph"/>
        <w:numPr>
          <w:ilvl w:val="0"/>
          <w:numId w:val="3"/>
        </w:numPr>
        <w:spacing w:after="80"/>
      </w:pPr>
      <w:r>
        <w:t xml:space="preserve">Housing Australia HAFF Round applications in partnership with Community Housing Providers</w:t>
      </w:r>
    </w:p>
    <w:p>
      <w:pPr>
        <w:pStyle w:val="ListParagraph"/>
        <w:numPr>
          <w:ilvl w:val="0"/>
          <w:numId w:val="3"/>
        </w:numPr>
        <w:spacing w:after="80"/>
      </w:pPr>
      <w:r>
        <w:t xml:space="preserve">Panel application management and renewal</w:t>
      </w:r>
    </w:p>
    <w:p>
      <w:pPr>
        <w:pStyle w:val="ListParagraph"/>
        <w:numPr>
          <w:ilvl w:val="0"/>
          <w:numId w:val="3"/>
        </w:numPr>
        <w:spacing w:after="80"/>
      </w:pPr>
      <w:r>
        <w:t xml:space="preserve">Government reporting and contract compliance</w:t>
      </w:r>
    </w:p>
    <w:p>
      <w:pPr>
        <w:pStyle w:val="ListParagraph"/>
        <w:numPr>
          <w:ilvl w:val="0"/>
          <w:numId w:val="3"/>
        </w:numPr>
        <w:spacing w:after="80"/>
      </w:pPr>
      <w:r>
        <w:t xml:space="preserve">Procurement policy tracking: monitoring changes like QLD Procurement Policy 2026, NSW Building Productivity Reforms</w:t>
      </w:r>
    </w:p>
    <w:p>
      <w:r>
        <w:br w:type="page"/>
      </w:r>
    </w:p>
    <w:p>
      <w:pPr>
        <w:pStyle w:val="Heading1"/>
      </w:pPr>
      <w:r>
        <w:t xml:space="preserve">4. Impact on Existing V1.0 Roles</w:t>
      </w:r>
    </w:p>
    <w:p>
      <w:pPr>
        <w:pStyle w:val="Heading2"/>
      </w:pPr>
      <w:r>
        <w:t xml:space="preserve">4.1 National Programme Director (EXPANDED)</w:t>
      </w:r>
    </w:p>
    <w:p>
      <w:pPr>
        <w:spacing w:after="160"/>
      </w:pPr>
      <w:r>
        <w:rPr>
          <w:b/>
          <w:bCs/>
        </w:rPr>
        <w:t xml:space="preserve">Incumbent: </w:t>
      </w:r>
      <w:r>
        <w:t xml:space="preserve">Dennis McMahon</w:t>
      </w:r>
    </w:p>
    <w:p>
      <w:pPr>
        <w:spacing w:after="160"/>
      </w:pPr>
      <w:r>
        <w:t xml:space="preserve">The role expands from overseeing three State Programme Directors to overseeing both the Development Division (through State PDs) and the Social Housing Division (through the Head of Social Housing). The core accountability is unchanged: ultimate delivery accountability across the entire national portfolio. The expansion adds oversight of government stakeholder relationships at the strategic level, national pipeline management across government programs, and strategic decisions on resource allocation between divisions.</w:t>
      </w:r>
    </w:p>
    <w:p>
      <w:pPr>
        <w:spacing w:after="160"/>
      </w:pPr>
      <w:r>
        <w:t xml:space="preserve">No salary change required immediately. The role naturally evolves as the social housing pipeline grows.</w:t>
      </w:r>
    </w:p>
    <w:p>
      <w:pPr>
        <w:pStyle w:val="Heading2"/>
      </w:pPr>
      <w:r>
        <w:t xml:space="preserve">4.2 Finance Director (EXPANDED)</w:t>
      </w:r>
    </w:p>
    <w:p>
      <w:pPr>
        <w:spacing w:after="160"/>
      </w:pPr>
      <w:r>
        <w:rPr>
          <w:b/>
          <w:bCs/>
        </w:rPr>
        <w:t xml:space="preserve">Incumbent: </w:t>
      </w:r>
      <w:r>
        <w:t xml:space="preserve">Uwe Jacobs</w:t>
      </w:r>
    </w:p>
    <w:p>
      <w:pPr>
        <w:spacing w:after="160"/>
      </w:pPr>
      <w:r>
        <w:t xml:space="preserve">The role expands to encompass the financial structures required by government contracts, which differ fundamentally from private development:</w:t>
      </w:r>
    </w:p>
    <w:p>
      <w:pPr>
        <w:pStyle w:val="ListParagraph"/>
        <w:numPr>
          <w:ilvl w:val="0"/>
          <w:numId w:val="3"/>
        </w:numPr>
        <w:spacing w:after="80"/>
      </w:pPr>
      <w:r>
        <w:t xml:space="preserve">Government payment terms and milestone-based invoicing (not settlement-based revenue)</w:t>
      </w:r>
    </w:p>
    <w:p>
      <w:pPr>
        <w:pStyle w:val="ListParagraph"/>
        <w:numPr>
          <w:ilvl w:val="0"/>
          <w:numId w:val="3"/>
        </w:numPr>
        <w:spacing w:after="80"/>
      </w:pPr>
      <w:r>
        <w:t xml:space="preserve">Multi-manufacturer payment coordination: managing payments to 5–10 suppliers across Australian and Asian entities</w:t>
      </w:r>
    </w:p>
    <w:p>
      <w:pPr>
        <w:pStyle w:val="ListParagraph"/>
        <w:numPr>
          <w:ilvl w:val="0"/>
          <w:numId w:val="3"/>
        </w:numPr>
        <w:spacing w:after="80"/>
      </w:pPr>
      <w:r>
        <w:t xml:space="preserve">Grant application financial modelling: WA Housing Innovation Program ($3M grants), HAFF Round 3 applications</w:t>
      </w:r>
    </w:p>
    <w:p>
      <w:pPr>
        <w:pStyle w:val="ListParagraph"/>
        <w:numPr>
          <w:ilvl w:val="0"/>
          <w:numId w:val="3"/>
        </w:numPr>
        <w:spacing w:after="80"/>
      </w:pPr>
      <w:r>
        <w:t xml:space="preserve">Project margin tracking per dwelling rather than per development</w:t>
      </w:r>
    </w:p>
    <w:p>
      <w:pPr>
        <w:pStyle w:val="ListParagraph"/>
        <w:numPr>
          <w:ilvl w:val="0"/>
          <w:numId w:val="3"/>
        </w:numPr>
        <w:spacing w:after="80"/>
      </w:pPr>
      <w:r>
        <w:t xml:space="preserve">Foreign exchange management for Asian manufacturer payments</w:t>
      </w:r>
    </w:p>
    <w:p>
      <w:pPr>
        <w:pStyle w:val="ListParagraph"/>
        <w:numPr>
          <w:ilvl w:val="0"/>
          <w:numId w:val="3"/>
        </w:numPr>
        <w:spacing w:after="80"/>
      </w:pPr>
      <w:r>
        <w:t xml:space="preserve">Insurance structuring for modular transport and installation risks</w:t>
      </w:r>
    </w:p>
    <w:p>
      <w:pPr>
        <w:spacing w:after="160"/>
      </w:pPr>
      <w:r>
        <w:t xml:space="preserve">A finance/administration coordinator may be needed at the national level as volumes grow (likely Year 2). Initially, the existing role can absorb the additional scope.</w:t>
      </w:r>
    </w:p>
    <w:p>
      <w:pPr>
        <w:pStyle w:val="Heading2"/>
      </w:pPr>
      <w:r>
        <w:t xml:space="preserve">4.3 State Programme Directors (EXPANDED)</w:t>
      </w:r>
    </w:p>
    <w:p>
      <w:pPr>
        <w:spacing w:after="160"/>
      </w:pPr>
      <w:r>
        <w:t xml:space="preserve">In the V1.0 structure, State PDs manage only the Development Division portfolio within their state. In V2.0, they gain a dual reporting line:</w:t>
      </w:r>
    </w:p>
    <w:p>
      <w:pPr>
        <w:pStyle w:val="ListParagraph"/>
        <w:numPr>
          <w:ilvl w:val="0"/>
          <w:numId w:val="3"/>
        </w:numPr>
        <w:spacing w:after="80"/>
      </w:pPr>
      <w:r>
        <w:t xml:space="preserve">They continue to manage Development Division projects within their state (primary accountability, unchanged)</w:t>
      </w:r>
    </w:p>
    <w:p>
      <w:pPr>
        <w:pStyle w:val="ListParagraph"/>
        <w:numPr>
          <w:ilvl w:val="0"/>
          <w:numId w:val="3"/>
        </w:numPr>
        <w:spacing w:after="80"/>
      </w:pPr>
      <w:r>
        <w:t xml:space="preserve">They become the local execution lead for Social Housing Division projects within their state — coordinating local trades, site preparation, installation, and commissioning under the direction of the Head of Social Housing</w:t>
      </w:r>
    </w:p>
    <w:p>
      <w:pPr>
        <w:spacing w:after="160"/>
      </w:pPr>
      <w:r>
        <w:t xml:space="preserve">This is a critical design choice. Rather than creating a separate field team for social housing, F2K leverages the existing State PD and Site Supervisor infrastructure for on-ground execution. The Social Housing Division provides the upstream functions (manufacturer coordination, specification compliance, logistics, procurement) while the state teams provide the downstream functions (site works, installation, handover).</w:t>
      </w:r>
    </w:p>
    <w:p>
      <w:pPr>
        <w:spacing w:after="160"/>
      </w:pPr>
      <w:r>
        <w:t xml:space="preserve">In states where F2K does not yet have a Development Division presence (VIC, SA, NT), social housing projects would initially be managed directly by the Head of Social Housing with locally contracted site supervisors, with a State PD appointed as volume justifies.</w:t>
      </w:r>
    </w:p>
    <w:p>
      <w:pPr>
        <w:pStyle w:val="Heading2"/>
      </w:pPr>
      <w:r>
        <w:t xml:space="preserve">4.4 Project Managers and Site Supervisors (UNCHANGED)</w:t>
      </w:r>
    </w:p>
    <w:p>
      <w:pPr>
        <w:spacing w:after="160"/>
      </w:pPr>
      <w:r>
        <w:t xml:space="preserve">These roles continue as defined in V1.0. Development Division PMs and Site Supervisors are unchanged. For Social Housing Division projects, existing PMs and Site Supervisors can be assigned to social housing contracts within their state, with the Compliance &amp; QA Manager providing the specialist oversight layer that makes government delivery different from private development.</w:t>
      </w:r>
    </w:p>
    <w:p>
      <w:r>
        <w:br w:type="page"/>
      </w:r>
    </w:p>
    <w:p>
      <w:pPr>
        <w:pStyle w:val="Heading1"/>
      </w:pPr>
      <w:r>
        <w:t xml:space="preserve">5. Expanded Cost Summary</w:t>
      </w:r>
    </w:p>
    <w:p>
      <w:pPr>
        <w:pStyle w:val="Heading2"/>
      </w:pPr>
      <w:r>
        <w:t xml:space="preserve">5.1 National Overhead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1800"/>
        <w:gridCol w:w="2226"/>
      </w:tblGrid>
      <w:tr>
        <w:tc>
          <w:tcPr>
            <w:tcW w:type="dxa" w:w="32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Role</w:t>
            </w:r>
          </w:p>
        </w:tc>
        <w:tc>
          <w:tcPr>
            <w:tcW w:type="dxa" w:w="18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Salary</w:t>
            </w:r>
          </w:p>
        </w:tc>
        <w:tc>
          <w:tcPr>
            <w:tcW w:type="dxa" w:w="18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Total Cost*</w:t>
            </w:r>
          </w:p>
        </w:tc>
        <w:tc>
          <w:tcPr>
            <w:tcW w:type="dxa" w:w="2226"/>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Status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National Programme Director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$250–300k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$288–345k</w:t>
            </w:r>
          </w:p>
        </w:tc>
        <w:tc>
          <w:tcPr>
            <w:tcW w:type="dxa" w:w="2226"/>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18"/>
                <w:szCs w:val="18"/>
              </w:rPr>
              <w:t xml:space="preserve">EXISTING — expanded</w:t>
            </w:r>
          </w:p>
        </w:tc>
      </w:tr>
      <w:tr>
        <w:tc>
          <w:tcPr>
            <w:tcW w:type="dxa" w:w="3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Finance Director</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$200–250k</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$230–288k</w:t>
            </w:r>
          </w:p>
        </w:tc>
        <w:tc>
          <w:tcPr>
            <w:tcW w:type="dxa" w:w="2226"/>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18"/>
                <w:szCs w:val="18"/>
              </w:rPr>
              <w:t xml:space="preserve">EXISTING — expanded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Head of Social Housing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$220–260k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$253–299k</w:t>
            </w:r>
          </w:p>
        </w:tc>
        <w:tc>
          <w:tcPr>
            <w:tcW w:type="dxa" w:w="22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18"/>
                <w:szCs w:val="18"/>
              </w:rPr>
              <w:t xml:space="preserve">NEW — Year 1</w:t>
            </w:r>
          </w:p>
        </w:tc>
      </w:tr>
      <w:tr>
        <w:tc>
          <w:tcPr>
            <w:tcW w:type="dxa" w:w="3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Manufacturer Relations Mgr</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$150–180k</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$173–207k</w:t>
            </w:r>
          </w:p>
        </w:tc>
        <w:tc>
          <w:tcPr>
            <w:tcW w:type="dxa" w:w="22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18"/>
                <w:szCs w:val="18"/>
              </w:rPr>
              <w:t xml:space="preserve">NEW — Year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Compliance &amp; QA Manager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$140–170k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$161–196k</w:t>
            </w:r>
          </w:p>
        </w:tc>
        <w:tc>
          <w:tcPr>
            <w:tcW w:type="dxa" w:w="22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18"/>
                <w:szCs w:val="18"/>
              </w:rPr>
              <w:t xml:space="preserve">NEW — Year 1</w:t>
            </w:r>
          </w:p>
        </w:tc>
      </w:tr>
      <w:tr>
        <w:tc>
          <w:tcPr>
            <w:tcW w:type="dxa" w:w="3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Govt Procurement Manager</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$130–160k</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$150–184k</w:t>
            </w:r>
          </w:p>
        </w:tc>
        <w:tc>
          <w:tcPr>
            <w:tcW w:type="dxa" w:w="22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18"/>
                <w:szCs w:val="18"/>
              </w:rPr>
              <w:t xml:space="preserve">NEW — Year 2 (Phase 2)</w:t>
            </w:r>
          </w:p>
        </w:tc>
      </w:tr>
      <w:tr>
        <w:tc>
          <w:tcPr>
            <w:tcW w:type="dxa" w:w="3200"/>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sz w:val="18"/>
                <w:szCs w:val="18"/>
              </w:rPr>
              <w:t xml:space="preserve">TOTAL NATIONAL</w:t>
            </w:r>
          </w:p>
        </w:tc>
        <w:tc>
          <w:tcPr>
            <w:tcW w:type="dxa" w:w="1800"/>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sz w:val="18"/>
                <w:szCs w:val="18"/>
              </w:rPr>
              <w:t xml:space="preserve">$960k–$1.16M</w:t>
            </w:r>
          </w:p>
        </w:tc>
        <w:tc>
          <w:tcPr>
            <w:tcW w:type="dxa" w:w="1800"/>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sz w:val="18"/>
                <w:szCs w:val="18"/>
              </w:rPr>
              <w:t xml:space="preserve">$1.1–$1.33M</w:t>
            </w:r>
          </w:p>
        </w:tc>
        <w:tc>
          <w:tcPr>
            <w:tcW w:type="dxa" w:w="2226"/>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sz w:val="18"/>
                <w:szCs w:val="18"/>
              </w:rPr>
              <w:t xml:space="preserve">Year 1 (excl Phase 2)</w:t>
            </w:r>
          </w:p>
        </w:tc>
      </w:tr>
    </w:tbl>
    <w:p>
      <w:pPr>
        <w:spacing w:after="160"/>
      </w:pPr>
      <w:r>
        <w:rPr>
          <w:i/>
          <w:iCs/>
          <w:color w:val="666666"/>
          <w:sz w:val="18"/>
          <w:szCs w:val="18"/>
        </w:rPr>
        <w:t xml:space="preserve">* Total cost includes 11.5% superannuation, payroll tax, and WorkCover estimates.</w:t>
      </w:r>
    </w:p>
    <w:p>
      <w:pPr>
        <w:pStyle w:val="Heading2"/>
      </w:pPr>
      <w:r>
        <w:t xml:space="preserve">5.2 Incremental Cost of Expanded Model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026"/>
      </w:tblGrid>
      <w:tr>
        <w:tc>
          <w:tcPr>
            <w:tcW w:type="dxa" w:w="30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20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V1.0 Annual</w:t>
            </w:r>
          </w:p>
        </w:tc>
        <w:tc>
          <w:tcPr>
            <w:tcW w:type="dxa" w:w="20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V2.0 Year 1</w:t>
            </w:r>
          </w:p>
        </w:tc>
        <w:tc>
          <w:tcPr>
            <w:tcW w:type="dxa" w:w="2026"/>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V2.0 Year 2</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National overhead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$540k</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$1.1–1.3M</w:t>
            </w:r>
          </w:p>
        </w:tc>
        <w:tc>
          <w:tcPr>
            <w:tcW w:type="dxa" w:w="2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$1.25–1.5M</w:t>
            </w:r>
          </w:p>
        </w:tc>
      </w:tr>
      <w:tr>
        <w:tc>
          <w:tcPr>
            <w:tcW w:type="dxa" w:w="3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State/project staff (Dev)</w:t>
            </w:r>
          </w:p>
        </w:tc>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$1.26–1.86M</w:t>
            </w:r>
          </w:p>
        </w:tc>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$1.26–1.86M</w:t>
            </w:r>
          </w:p>
        </w:tc>
        <w:tc>
          <w:tcPr>
            <w:tcW w:type="dxa" w:w="20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$1.26–1.86M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Social housing field staff</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$0.3–0.6M</w:t>
            </w:r>
          </w:p>
        </w:tc>
        <w:tc>
          <w:tcPr>
            <w:tcW w:type="dxa" w:w="2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$0.8–1.2M</w:t>
            </w:r>
          </w:p>
        </w:tc>
      </w:tr>
      <w:tr>
        <w:tc>
          <w:tcPr>
            <w:tcW w:type="dxa" w:w="3000"/>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sz w:val="18"/>
                <w:szCs w:val="18"/>
              </w:rPr>
              <w:t xml:space="preserve">TOTAL PAYROLL</w:t>
            </w:r>
          </w:p>
        </w:tc>
        <w:tc>
          <w:tcPr>
            <w:tcW w:type="dxa" w:w="2000"/>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sz w:val="18"/>
                <w:szCs w:val="18"/>
              </w:rPr>
              <w:t xml:space="preserve">$1.8–2.4M</w:t>
            </w:r>
          </w:p>
        </w:tc>
        <w:tc>
          <w:tcPr>
            <w:tcW w:type="dxa" w:w="2000"/>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color w:val="C1440E"/>
                <w:sz w:val="18"/>
                <w:szCs w:val="18"/>
              </w:rPr>
              <w:t xml:space="preserve">$2.7–3.8M</w:t>
            </w:r>
          </w:p>
        </w:tc>
        <w:tc>
          <w:tcPr>
            <w:tcW w:type="dxa" w:w="2026"/>
            <w:tcBorders>
              <w:top w:val="single" w:color="1B2A4A" w:sz="2"/>
              <w:left w:val="single" w:color="1B2A4A" w:sz="2"/>
              <w:bottom w:val="single" w:color="1B2A4A" w:sz="2"/>
              <w:right w:val="single" w:color="1B2A4A" w:sz="2"/>
            </w:tcBorders>
            <w:shd w:fill="FFF3E0" w:val="clear"/>
            <w:tcMar>
              <w:top w:type="dxa" w:w="80"/>
              <w:left w:type="dxa" w:w="120"/>
              <w:bottom w:type="dxa" w:w="80"/>
              <w:right w:type="dxa" w:w="120"/>
            </w:tcMar>
          </w:tcPr>
          <w:p>
            <w:r>
              <w:rPr>
                <w:rFonts w:ascii="Arial" w:cs="Arial" w:eastAsia="Arial" w:hAnsi="Arial"/>
                <w:b/>
                <w:bCs/>
                <w:color w:val="C1440E"/>
                <w:sz w:val="18"/>
                <w:szCs w:val="18"/>
              </w:rPr>
              <w:t xml:space="preserve">$3.3–4.6M</w:t>
            </w:r>
          </w:p>
        </w:tc>
      </w:tr>
    </w:tbl>
    <w:p>
      <w:pPr>
        <w:spacing w:after="80"/>
      </w:pPr>
    </w:p>
    <w:p>
      <w:pPr>
        <w:spacing w:after="160"/>
      </w:pPr>
      <w:r>
        <w:rPr>
          <w:b/>
          <w:bCs/>
        </w:rPr>
        <w:t xml:space="preserve">Critical note on cost recovery: </w:t>
      </w:r>
      <w:r>
        <w:t xml:space="preserve">The incremental $0.9–1.4M in Year 1 national overhead for social housing roles is an investment cost. Once the first government contracts are secured, social housing project management fees (typically 10–15% of construction value) will recover these costs. A single 50-dwelling contract at $300k average construction cost = $15M contract value = $1.5–2.25M in PM fees, which covers the entire incremental overhead.</w:t>
      </w:r>
    </w:p>
    <w:p>
      <w:r>
        <w:br w:type="page"/>
      </w:r>
    </w:p>
    <w:p>
      <w:pPr>
        <w:pStyle w:val="Heading1"/>
      </w:pPr>
      <w:r>
        <w:t xml:space="preserve">6. Phased Implementation</w:t>
      </w:r>
    </w:p>
    <w:p>
      <w:pPr>
        <w:pStyle w:val="Heading2"/>
      </w:pPr>
      <w:r>
        <w:t xml:space="preserve">Phase 1: Months 1–3 (Immediate)</w:t>
      </w:r>
    </w:p>
    <w:p>
      <w:pPr>
        <w:pStyle w:val="ListParagraph"/>
        <w:numPr>
          <w:ilvl w:val="0"/>
          <w:numId w:val="3"/>
        </w:numPr>
        <w:spacing w:after="80"/>
      </w:pPr>
      <w:r>
        <w:t xml:space="preserve">Recruit Head of Social Housing — the critical hire. This person builds the rest.</w:t>
      </w:r>
    </w:p>
    <w:p>
      <w:pPr>
        <w:pStyle w:val="ListParagraph"/>
        <w:numPr>
          <w:ilvl w:val="0"/>
          <w:numId w:val="3"/>
        </w:numPr>
        <w:spacing w:after="80"/>
      </w:pPr>
      <w:r>
        <w:t xml:space="preserve">Recruit Manufacturer Relations Manager — needed to begin manufacturer pre-qualification immediately.</w:t>
      </w:r>
    </w:p>
    <w:p>
      <w:pPr>
        <w:pStyle w:val="ListParagraph"/>
        <w:numPr>
          <w:ilvl w:val="0"/>
          <w:numId w:val="3"/>
        </w:numPr>
        <w:spacing w:after="80"/>
      </w:pPr>
      <w:r>
        <w:t xml:space="preserve">Recruit Compliance &amp; QA Manager — needed to translate state specifications into manufacturer-ready requirements.</w:t>
      </w:r>
    </w:p>
    <w:p>
      <w:pPr>
        <w:pStyle w:val="ListParagraph"/>
        <w:numPr>
          <w:ilvl w:val="0"/>
          <w:numId w:val="3"/>
        </w:numPr>
        <w:spacing w:after="80"/>
      </w:pPr>
      <w:r>
        <w:t xml:space="preserve">Complete all CRITICAL procurement registrations (NSW SCM5862, QBuild, Tenders WA, NT QTOL, HAFF Round 3).</w:t>
      </w:r>
    </w:p>
    <w:p>
      <w:pPr>
        <w:pStyle w:val="ListParagraph"/>
        <w:numPr>
          <w:ilvl w:val="0"/>
          <w:numId w:val="3"/>
        </w:numPr>
        <w:spacing w:after="80"/>
      </w:pPr>
      <w:r>
        <w:t xml:space="preserve">National Programme Director and Finance Director expand scope to cover social housing oversight.</w:t>
      </w:r>
    </w:p>
    <w:p>
      <w:pPr>
        <w:pStyle w:val="Heading2"/>
      </w:pPr>
      <w:r>
        <w:t xml:space="preserve">Phase 2: Months 4–9 (First Contracts)</w:t>
      </w:r>
    </w:p>
    <w:p>
      <w:pPr>
        <w:pStyle w:val="ListParagraph"/>
        <w:numPr>
          <w:ilvl w:val="0"/>
          <w:numId w:val="3"/>
        </w:numPr>
        <w:spacing w:after="80"/>
      </w:pPr>
      <w:r>
        <w:t xml:space="preserve">First government tender submitted (target: WA Prefabricated Housing program).</w:t>
      </w:r>
    </w:p>
    <w:p>
      <w:pPr>
        <w:pStyle w:val="ListParagraph"/>
        <w:numPr>
          <w:ilvl w:val="0"/>
          <w:numId w:val="3"/>
        </w:numPr>
        <w:spacing w:after="80"/>
      </w:pPr>
      <w:r>
        <w:t xml:space="preserve">Manufacturer panel established: 3–5 Australian fabricators, 2–3 Asian module producers pre-qualified.</w:t>
      </w:r>
    </w:p>
    <w:p>
      <w:pPr>
        <w:pStyle w:val="ListParagraph"/>
        <w:numPr>
          <w:ilvl w:val="0"/>
          <w:numId w:val="3"/>
        </w:numPr>
        <w:spacing w:after="80"/>
      </w:pPr>
      <w:r>
        <w:t xml:space="preserve">Assign existing State PD and Site Supervisor resources to first social housing projects within WA, TAS, or QLD.</w:t>
      </w:r>
    </w:p>
    <w:p>
      <w:pPr>
        <w:pStyle w:val="ListParagraph"/>
        <w:numPr>
          <w:ilvl w:val="0"/>
          <w:numId w:val="3"/>
        </w:numPr>
        <w:spacing w:after="80"/>
      </w:pPr>
      <w:r>
        <w:t xml:space="preserve">Assess need for Government Procurement Manager based on tender pipeline volume.</w:t>
      </w:r>
    </w:p>
    <w:p>
      <w:pPr>
        <w:pStyle w:val="ListParagraph"/>
        <w:numPr>
          <w:ilvl w:val="0"/>
          <w:numId w:val="3"/>
        </w:numPr>
        <w:spacing w:after="80"/>
      </w:pPr>
      <w:r>
        <w:t xml:space="preserve">Begin VIC and SA procurement registrations.</w:t>
      </w:r>
    </w:p>
    <w:p>
      <w:pPr>
        <w:pStyle w:val="Heading2"/>
      </w:pPr>
      <w:r>
        <w:t xml:space="preserve">Phase 3: Months 10–18 (Scale)</w:t>
      </w:r>
    </w:p>
    <w:p>
      <w:pPr>
        <w:pStyle w:val="ListParagraph"/>
        <w:numPr>
          <w:ilvl w:val="0"/>
          <w:numId w:val="3"/>
        </w:numPr>
        <w:spacing w:after="80"/>
      </w:pPr>
      <w:r>
        <w:t xml:space="preserve">Appoint Government Procurement Manager (split from Head of Social Housing).</w:t>
      </w:r>
    </w:p>
    <w:p>
      <w:pPr>
        <w:pStyle w:val="ListParagraph"/>
        <w:numPr>
          <w:ilvl w:val="0"/>
          <w:numId w:val="3"/>
        </w:numPr>
        <w:spacing w:after="80"/>
      </w:pPr>
      <w:r>
        <w:t xml:space="preserve">Appoint additional State PDs for VIC, SA, NT as social housing contract volumes justify.</w:t>
      </w:r>
    </w:p>
    <w:p>
      <w:pPr>
        <w:pStyle w:val="ListParagraph"/>
        <w:numPr>
          <w:ilvl w:val="0"/>
          <w:numId w:val="3"/>
        </w:numPr>
        <w:spacing w:after="80"/>
      </w:pPr>
      <w:r>
        <w:t xml:space="preserve">Appoint additional Site Supervisors for social housing projects (1 per active site, recovered from project fees).</w:t>
      </w:r>
    </w:p>
    <w:p>
      <w:pPr>
        <w:pStyle w:val="ListParagraph"/>
        <w:numPr>
          <w:ilvl w:val="0"/>
          <w:numId w:val="3"/>
        </w:numPr>
        <w:spacing w:after="80"/>
      </w:pPr>
      <w:r>
        <w:t xml:space="preserve">Establish logistics infrastructure: Asian port to Australian port shipping relationships, road transport contracts for remote/regional delivery.</w:t>
      </w:r>
    </w:p>
    <w:p>
      <w:pPr>
        <w:pStyle w:val="ListParagraph"/>
        <w:numPr>
          <w:ilvl w:val="0"/>
          <w:numId w:val="3"/>
        </w:numPr>
        <w:spacing w:after="80"/>
      </w:pPr>
      <w:r>
        <w:t xml:space="preserve">Target: 50–100 dwellings per year across 2–3 states.</w:t>
      </w:r>
    </w:p>
    <w:p>
      <w:pPr>
        <w:pStyle w:val="Heading2"/>
      </w:pPr>
      <w:r>
        <w:t xml:space="preserve">Phase 4: Year 2+ (National Coverage)</w:t>
      </w:r>
    </w:p>
    <w:p>
      <w:pPr>
        <w:pStyle w:val="ListParagraph"/>
        <w:numPr>
          <w:ilvl w:val="0"/>
          <w:numId w:val="3"/>
        </w:numPr>
        <w:spacing w:after="80"/>
      </w:pPr>
      <w:r>
        <w:t xml:space="preserve">Full national coverage: active in all 7 states/territories plus federal programs.</w:t>
      </w:r>
    </w:p>
    <w:p>
      <w:pPr>
        <w:pStyle w:val="ListParagraph"/>
        <w:numPr>
          <w:ilvl w:val="0"/>
          <w:numId w:val="3"/>
        </w:numPr>
        <w:spacing w:after="80"/>
      </w:pPr>
      <w:r>
        <w:t xml:space="preserve">Manufacturer network: 8–12 qualified suppliers across all categories.</w:t>
      </w:r>
    </w:p>
    <w:p>
      <w:pPr>
        <w:pStyle w:val="ListParagraph"/>
        <w:numPr>
          <w:ilvl w:val="0"/>
          <w:numId w:val="3"/>
        </w:numPr>
        <w:spacing w:after="80"/>
      </w:pPr>
      <w:r>
        <w:t xml:space="preserve">Target: 200+ dwellings per year across 4–6 states.</w:t>
      </w:r>
    </w:p>
    <w:p>
      <w:pPr>
        <w:pStyle w:val="ListParagraph"/>
        <w:numPr>
          <w:ilvl w:val="0"/>
          <w:numId w:val="3"/>
        </w:numPr>
        <w:spacing w:after="80"/>
      </w:pPr>
      <w:r>
        <w:t xml:space="preserve">Consider appointing a dedicated Head of Development to mirror the Head of Social Housing, freeing the National Programme Director for pure strategic/board-level leadership.</w:t>
      </w:r>
    </w:p>
    <w:p>
      <w:r>
        <w:br w:type="page"/>
      </w:r>
    </w:p>
    <w:p>
      <w:pPr>
        <w:pStyle w:val="Heading1"/>
      </w:pPr>
      <w:r>
        <w:t xml:space="preserve">7. Revised Full Structure — Year 2 Steady State</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1700"/>
        <w:gridCol w:w="1700"/>
        <w:gridCol w:w="1626"/>
      </w:tblGrid>
      <w:tr>
        <w:tc>
          <w:tcPr>
            <w:tcW w:type="dxa" w:w="15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Tier</w:t>
            </w:r>
          </w:p>
        </w:tc>
        <w:tc>
          <w:tcPr>
            <w:tcW w:type="dxa" w:w="25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Role</w:t>
            </w:r>
          </w:p>
        </w:tc>
        <w:tc>
          <w:tcPr>
            <w:tcW w:type="dxa" w:w="17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Division</w:t>
            </w:r>
          </w:p>
        </w:tc>
        <w:tc>
          <w:tcPr>
            <w:tcW w:type="dxa" w:w="1700"/>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Salary</w:t>
            </w:r>
          </w:p>
        </w:tc>
        <w:tc>
          <w:tcPr>
            <w:tcW w:type="dxa" w:w="1626"/>
            <w:tcBorders>
              <w:top w:val="single" w:color="1B2A4A" w:sz="2"/>
              <w:left w:val="single" w:color="1B2A4A" w:sz="2"/>
              <w:bottom w:val="single" w:color="1B2A4A" w:sz="2"/>
              <w:right w:val="single" w:color="1B2A4A" w:sz="2"/>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Status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National</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National Programme Director</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Both</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$250–300k</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Existing</w:t>
            </w:r>
          </w:p>
        </w:tc>
      </w:tr>
      <w:tr>
        <w:tc>
          <w:tcPr>
            <w:tcW w:type="dxa" w:w="1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Finance Director</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Both</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$200–250k</w:t>
            </w:r>
          </w:p>
        </w:tc>
        <w:tc>
          <w:tcPr>
            <w:tcW w:type="dxa" w:w="16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Existing</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Head of Social Housing</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Social Housing</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$220–260k</w:t>
            </w:r>
          </w:p>
        </w:tc>
        <w:tc>
          <w:tcPr>
            <w:tcW w:type="dxa" w:w="16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i/>
                <w:iCs/>
                <w:sz w:val="16"/>
                <w:szCs w:val="16"/>
              </w:rPr>
              <w:t xml:space="preserve">NEW</w:t>
            </w:r>
          </w:p>
        </w:tc>
      </w:tr>
      <w:tr>
        <w:tc>
          <w:tcPr>
            <w:tcW w:type="dxa" w:w="1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Manufacturer Relations Manager</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Social Housing</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$150–180k</w:t>
            </w:r>
          </w:p>
        </w:tc>
        <w:tc>
          <w:tcPr>
            <w:tcW w:type="dxa" w:w="16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i/>
                <w:iCs/>
                <w:sz w:val="16"/>
                <w:szCs w:val="16"/>
              </w:rPr>
              <w:t xml:space="preserve">NEW</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Compliance &amp; QA Manager</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Social Housing</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$140–170k</w:t>
            </w:r>
          </w:p>
        </w:tc>
        <w:tc>
          <w:tcPr>
            <w:tcW w:type="dxa" w:w="16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i/>
                <w:iCs/>
                <w:sz w:val="16"/>
                <w:szCs w:val="16"/>
              </w:rPr>
              <w:t xml:space="preserve">NEW</w:t>
            </w:r>
          </w:p>
        </w:tc>
      </w:tr>
      <w:tr>
        <w:tc>
          <w:tcPr>
            <w:tcW w:type="dxa" w:w="1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Govt Procurement Manager</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Social Housing</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$130–160k</w:t>
            </w:r>
          </w:p>
        </w:tc>
        <w:tc>
          <w:tcPr>
            <w:tcW w:type="dxa" w:w="16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i/>
                <w:iCs/>
                <w:sz w:val="16"/>
                <w:szCs w:val="16"/>
              </w:rPr>
              <w:t xml:space="preserve">NEW Yr 2</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State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State PD — WA</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Development</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$180–220k</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Existing</w:t>
            </w:r>
          </w:p>
        </w:tc>
      </w:tr>
      <w:tr>
        <w:tc>
          <w:tcPr>
            <w:tcW w:type="dxa" w:w="1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State PD — TAS</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Development</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$180–220k</w:t>
            </w:r>
          </w:p>
        </w:tc>
        <w:tc>
          <w:tcPr>
            <w:tcW w:type="dxa" w:w="16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Existing</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State PD — QLD</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Development</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$180–220k</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Existing</w:t>
            </w:r>
          </w:p>
        </w:tc>
      </w:tr>
      <w:tr>
        <w:tc>
          <w:tcPr>
            <w:tcW w:type="dxa" w:w="1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State PD — VIC/SA/NT (as req)</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Social Housing</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$180–220k</w:t>
            </w:r>
          </w:p>
        </w:tc>
        <w:tc>
          <w:tcPr>
            <w:tcW w:type="dxa" w:w="16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i/>
                <w:iCs/>
                <w:sz w:val="16"/>
                <w:szCs w:val="16"/>
              </w:rPr>
              <w:t xml:space="preserve">NEW as vol</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Project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Project Managers (Dev) × 5–7</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Development</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$140–180k ea</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Existing</w:t>
            </w:r>
          </w:p>
        </w:tc>
      </w:tr>
      <w:tr>
        <w:tc>
          <w:tcPr>
            <w:tcW w:type="dxa" w:w="1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Project Managers (SH) × 2–4</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Social Housing</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$140–180k ea</w:t>
            </w:r>
          </w:p>
        </w:tc>
        <w:tc>
          <w:tcPr>
            <w:tcW w:type="dxa" w:w="16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i/>
                <w:iCs/>
                <w:sz w:val="16"/>
                <w:szCs w:val="16"/>
              </w:rPr>
              <w:t xml:space="preserve">NEW as vol</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Site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Site Supervisors (Dev) × 6–8</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Development</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$100–130k ea</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Existing</w:t>
            </w:r>
          </w:p>
        </w:tc>
      </w:tr>
      <w:tr>
        <w:tc>
          <w:tcPr>
            <w:tcW w:type="dxa" w:w="1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Site Supervisors (SH) × 3–6</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Social Housing</w:t>
            </w:r>
          </w:p>
        </w:tc>
        <w:tc>
          <w:tcPr>
            <w:tcW w:type="dxa" w:w="1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$100–130k ea</w:t>
            </w:r>
          </w:p>
        </w:tc>
        <w:tc>
          <w:tcPr>
            <w:tcW w:type="dxa" w:w="1626"/>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i/>
                <w:iCs/>
                <w:sz w:val="16"/>
                <w:szCs w:val="16"/>
              </w:rPr>
              <w:t xml:space="preserve">NEW as vol</w:t>
            </w:r>
          </w:p>
        </w:tc>
      </w:tr>
    </w:tbl>
    <w:p>
      <w:pPr>
        <w:spacing w:after="80"/>
      </w:pPr>
    </w:p>
    <w:p>
      <w:pPr>
        <w:pBdr>
          <w:top w:val="single" w:color="C1440E" w:sz="4" w:space="12"/>
          <w:bottom w:val="single" w:color="C1440E" w:sz="4" w:space="12"/>
        </w:pBdr>
        <w:spacing w:before="200" w:after="200"/>
        <w:jc w:val="center"/>
      </w:pPr>
      <w:r>
        <w:rPr>
          <w:rFonts w:ascii="Arial" w:cs="Arial" w:eastAsia="Arial" w:hAnsi="Arial"/>
          <w:b/>
          <w:bCs/>
          <w:color w:val="C1440E"/>
          <w:sz w:val="26"/>
          <w:szCs w:val="26"/>
        </w:rPr>
        <w:t xml:space="preserve">YEAR 2 INDICATIVE TOTAL ANNUAL PAYROLL: $3.3M – $4.6M</w:t>
      </w:r>
    </w:p>
    <w:p>
      <w:pPr>
        <w:spacing w:after="200"/>
        <w:jc w:val="center"/>
      </w:pPr>
      <w:r>
        <w:rPr>
          <w:rFonts w:ascii="Arial" w:cs="Arial" w:eastAsia="Arial" w:hAnsi="Arial"/>
          <w:color w:val="666666"/>
          <w:sz w:val="18"/>
          <w:szCs w:val="18"/>
        </w:rPr>
        <w:t xml:space="preserve">(National 5–6 + State 3–6 + Project Managers 7–11 + Site Supervisors 9–14 = 24–37 staff)</w:t>
      </w:r>
    </w:p>
    <w:p>
      <w:r>
        <w:br w:type="page"/>
      </w:r>
    </w:p>
    <w:p>
      <w:pPr>
        <w:pStyle w:val="Heading1"/>
      </w:pPr>
      <w:r>
        <w:t xml:space="preserve">8. The Critical First Hire</w:t>
      </w:r>
    </w:p>
    <w:p>
      <w:pPr>
        <w:spacing w:after="160"/>
      </w:pPr>
      <w:r>
        <w:t xml:space="preserve">Everything hinges on the Head of Social Housing. This is the person who:</w:t>
      </w:r>
    </w:p>
    <w:p>
      <w:pPr>
        <w:pStyle w:val="ListParagraph"/>
        <w:numPr>
          <w:ilvl w:val="0"/>
          <w:numId w:val="3"/>
        </w:numPr>
        <w:spacing w:after="80"/>
      </w:pPr>
      <w:r>
        <w:t xml:space="preserve">Understands government social housing procurement from the inside — ideally with direct experience in a state housing authority, Housing Australia, or a community housing provider</w:t>
      </w:r>
    </w:p>
    <w:p>
      <w:pPr>
        <w:pStyle w:val="ListParagraph"/>
        <w:numPr>
          <w:ilvl w:val="0"/>
          <w:numId w:val="3"/>
        </w:numPr>
        <w:spacing w:after="80"/>
      </w:pPr>
      <w:r>
        <w:t xml:space="preserve">Has relationships across multiple state housing agencies</w:t>
      </w:r>
    </w:p>
    <w:p>
      <w:pPr>
        <w:pStyle w:val="ListParagraph"/>
        <w:numPr>
          <w:ilvl w:val="0"/>
          <w:numId w:val="3"/>
        </w:numPr>
        <w:spacing w:after="80"/>
      </w:pPr>
      <w:r>
        <w:t xml:space="preserve">Understands modular/prefabricated construction and the manufacturer landscape</w:t>
      </w:r>
    </w:p>
    <w:p>
      <w:pPr>
        <w:pStyle w:val="ListParagraph"/>
        <w:numPr>
          <w:ilvl w:val="0"/>
          <w:numId w:val="3"/>
        </w:numPr>
        <w:spacing w:after="80"/>
      </w:pPr>
      <w:r>
        <w:t xml:space="preserve">Can write winning tender responses and navigate government procurement processes</w:t>
      </w:r>
    </w:p>
    <w:p>
      <w:pPr>
        <w:pStyle w:val="ListParagraph"/>
        <w:numPr>
          <w:ilvl w:val="0"/>
          <w:numId w:val="3"/>
        </w:numPr>
        <w:spacing w:after="80"/>
      </w:pPr>
      <w:r>
        <w:t xml:space="preserve">Can build and lead a small specialist team (Manufacturer Relations, Compliance &amp; QA)</w:t>
      </w:r>
    </w:p>
    <w:p>
      <w:pPr>
        <w:pStyle w:val="ListParagraph"/>
        <w:numPr>
          <w:ilvl w:val="0"/>
          <w:numId w:val="3"/>
        </w:numPr>
        <w:spacing w:after="80"/>
      </w:pPr>
      <w:r>
        <w:t xml:space="preserve">Shares the “All Hands to the Wheel” urgency — this is a national emergency and F2K is here to help solve it</w:t>
      </w:r>
    </w:p>
    <w:p>
      <w:pPr>
        <w:spacing w:after="80"/>
      </w:pPr>
    </w:p>
    <w:p>
      <w:pPr>
        <w:spacing w:after="160"/>
      </w:pPr>
      <w:r>
        <w:t xml:space="preserve">The ideal candidate profile is someone with 10+ years in social housing delivery who has become frustrated with the pace of change from inside government and wants to drive it from the private sector. They understand why modular hasn’t scaled (fragmented supply chains, state silos, compliance complexity) and they see the Central Integrator model as the answer.</w:t>
      </w:r>
    </w:p>
    <w:p>
      <w:pPr>
        <w:spacing w:after="160"/>
      </w:pPr>
      <w:r>
        <w:t xml:space="preserve">This hire should be the first commitment. Everything else in the expanded structure flows from this person’s appointment and the contracts they bring in.</w:t>
      </w:r>
    </w:p>
    <w:p>
      <w:pPr>
        <w:spacing w:after="80"/>
      </w:pPr>
    </w:p>
    <w:p>
      <w:pPr>
        <w:pBdr>
          <w:top w:val="single" w:color="1B2A4A" w:sz="6" w:space="12"/>
        </w:pBdr>
        <w:spacing w:before="300" w:after="200"/>
        <w:jc w:val="center"/>
      </w:pPr>
      <w:r>
        <w:rPr>
          <w:rFonts w:ascii="Arial" w:cs="Arial" w:eastAsia="Arial" w:hAnsi="Arial"/>
          <w:color w:val="999999"/>
          <w:sz w:val="20"/>
          <w:szCs w:val="20"/>
        </w:rPr>
        <w:t xml:space="preserve">Factory2Key — National Organisation Structure V2.0</w:t>
      </w:r>
    </w:p>
    <w:p>
      <w:pPr>
        <w:jc w:val="center"/>
      </w:pPr>
      <w:r>
        <w:rPr>
          <w:rFonts w:ascii="Arial" w:cs="Arial" w:eastAsia="Arial" w:hAnsi="Arial"/>
          <w:color w:val="999999"/>
          <w:sz w:val="18"/>
          <w:szCs w:val="18"/>
        </w:rPr>
        <w:t xml:space="preserve">Prepared February 2026  |  DRAFT FOR DISCUSSION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C1440E"/>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2026-02-19T04:40:34.362Z</dcterms:created>
  <dcterms:modified xsi:type="dcterms:W3CDTF">2026-02-19T04:40:34.363Z</dcterms:modified>
</cp:coreProperties>
</file>

<file path=docProps/custom.xml><?xml version="1.0" encoding="utf-8"?>
<Properties xmlns="http://schemas.openxmlformats.org/officeDocument/2006/custom-properties" xmlns:vt="http://schemas.openxmlformats.org/officeDocument/2006/docPropsVTypes"/>
</file>